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4E0DEE" w:rsidRPr="00F479A4" w:rsidTr="000E504D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A7A48" w:rsidRPr="00303023" w:rsidRDefault="003A7A48" w:rsidP="00542F4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4E0DEE" w:rsidRPr="00F479A4" w:rsidRDefault="00A06D09" w:rsidP="00542F4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676072" w:rsidRDefault="00CD433C" w:rsidP="00542F4D">
      <w:pPr>
        <w:pStyle w:val="Nadpis1"/>
        <w:spacing w:before="360" w:after="360" w:line="276" w:lineRule="auto"/>
        <w:jc w:val="center"/>
        <w:rPr>
          <w:rFonts w:ascii="Palatino Linotype" w:hAnsi="Palatino Linotype"/>
          <w:b/>
          <w:bCs/>
          <w:sz w:val="24"/>
          <w:u w:val="single"/>
        </w:rPr>
      </w:pPr>
      <w:r>
        <w:rPr>
          <w:rFonts w:ascii="Palatino Linotype" w:hAnsi="Palatino Linotype"/>
          <w:b/>
          <w:bCs/>
          <w:sz w:val="24"/>
          <w:u w:val="single"/>
        </w:rPr>
        <w:t>ZÁPIS O POSOUZENÍ SPLNĚNÍ PODMÍNEK ÚČASTI VYBRANÉHO DODAVATELE</w:t>
      </w:r>
      <w:r w:rsidR="004E0DEE" w:rsidRPr="004E0DEE">
        <w:rPr>
          <w:rFonts w:ascii="Palatino Linotype" w:hAnsi="Palatino Linotype"/>
          <w:b/>
          <w:bCs/>
          <w:sz w:val="24"/>
          <w:u w:val="single"/>
        </w:rPr>
        <w:t xml:space="preserve"> </w:t>
      </w:r>
    </w:p>
    <w:p w:rsidR="00C23611" w:rsidRPr="00C23611" w:rsidRDefault="00C23611" w:rsidP="00542F4D">
      <w:pPr>
        <w:spacing w:before="240" w:after="24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C23611">
        <w:rPr>
          <w:rFonts w:ascii="Palatino Linotype" w:hAnsi="Palatino Linotype"/>
          <w:b/>
          <w:sz w:val="22"/>
          <w:szCs w:val="22"/>
        </w:rPr>
        <w:t>dle ust. § 12</w:t>
      </w:r>
      <w:r w:rsidR="00CD433C">
        <w:rPr>
          <w:rFonts w:ascii="Palatino Linotype" w:hAnsi="Palatino Linotype"/>
          <w:b/>
          <w:sz w:val="22"/>
          <w:szCs w:val="22"/>
        </w:rPr>
        <w:t>3</w:t>
      </w:r>
      <w:r w:rsidRPr="00C23611">
        <w:rPr>
          <w:rFonts w:ascii="Palatino Linotype" w:hAnsi="Palatino Linotype"/>
          <w:b/>
          <w:sz w:val="22"/>
          <w:szCs w:val="22"/>
        </w:rPr>
        <w:t xml:space="preserve"> ZZVZ </w:t>
      </w:r>
    </w:p>
    <w:p w:rsidR="00CD433C" w:rsidRPr="00CD433C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Datum a čas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542F4D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b/>
          <w:iCs/>
          <w:sz w:val="22"/>
          <w:szCs w:val="22"/>
        </w:rPr>
        <w:t>Místo jednání:</w:t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Pr="00CD433C">
        <w:rPr>
          <w:rFonts w:ascii="Palatino Linotype" w:hAnsi="Palatino Linotype"/>
          <w:b/>
          <w:iCs/>
          <w:sz w:val="22"/>
          <w:szCs w:val="22"/>
        </w:rPr>
        <w:tab/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542F4D" w:rsidRDefault="00CD433C" w:rsidP="00542F4D">
      <w:pPr>
        <w:numPr>
          <w:ilvl w:val="0"/>
          <w:numId w:val="3"/>
        </w:numPr>
        <w:autoSpaceDE/>
        <w:autoSpaceDN/>
        <w:spacing w:before="120" w:after="120"/>
        <w:ind w:left="357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Předmětem jednání je provedení posouzení splnění podmínek účasti vybraného zadavatele.</w:t>
      </w:r>
    </w:p>
    <w:p w:rsidR="00CD433C" w:rsidRPr="00542F4D" w:rsidRDefault="00CD433C" w:rsidP="00542F4D">
      <w:pPr>
        <w:spacing w:before="120" w:after="12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Vybraný dodavatel byl na základě ust. § 122 ZZVZ dne </w: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Pr="00CD433C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[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k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doplněn</w:t>
      </w:r>
      <w:r>
        <w:rPr>
          <w:rFonts w:ascii="Palatino Linotype" w:hAnsi="Palatino Linotype"/>
          <w:i/>
          <w:noProof/>
          <w:sz w:val="22"/>
          <w:szCs w:val="22"/>
          <w:highlight w:val="yellow"/>
        </w:rPr>
        <w:t>í</w:t>
      </w:r>
      <w:r w:rsidRPr="00CD433C">
        <w:rPr>
          <w:rFonts w:ascii="Palatino Linotype" w:hAnsi="Palatino Linotype"/>
          <w:i/>
          <w:noProof/>
          <w:sz w:val="22"/>
          <w:szCs w:val="22"/>
          <w:highlight w:val="yellow"/>
        </w:rPr>
        <w:t>]</w:t>
      </w:r>
      <w:r w:rsidR="000E7161" w:rsidRPr="00CD433C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Pr="00CD433C">
        <w:rPr>
          <w:rFonts w:ascii="Palatino Linotype" w:hAnsi="Palatino Linotype"/>
          <w:sz w:val="22"/>
          <w:szCs w:val="22"/>
        </w:rPr>
        <w:t>vyzván, aby předložil tyto údaje a doklady:</w:t>
      </w:r>
    </w:p>
    <w:p w:rsidR="00CD433C" w:rsidRPr="00CD433C" w:rsidRDefault="00CD433C" w:rsidP="00542F4D">
      <w:pPr>
        <w:numPr>
          <w:ilvl w:val="0"/>
          <w:numId w:val="7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originály nebo ověřené kopie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542F4D">
      <w:pPr>
        <w:numPr>
          <w:ilvl w:val="0"/>
          <w:numId w:val="7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doklady nebo vzorky vztahující se k předmětu plnění veřejné zakázky nebo kvalifikaci dodavatele</w:t>
      </w:r>
      <w:r w:rsidR="007F2377">
        <w:rPr>
          <w:rFonts w:ascii="Palatino Linotype" w:hAnsi="Palatino Linotype"/>
          <w:sz w:val="22"/>
          <w:szCs w:val="22"/>
        </w:rPr>
        <w:t>,</w:t>
      </w:r>
      <w:r w:rsidRPr="00CD433C">
        <w:rPr>
          <w:rFonts w:ascii="Palatino Linotype" w:hAnsi="Palatino Linotype"/>
          <w:sz w:val="22"/>
          <w:szCs w:val="22"/>
        </w:rPr>
        <w:t xml:space="preserve"> a to konkrétně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sz w:val="22"/>
          <w:szCs w:val="22"/>
        </w:rPr>
        <w:t>,</w:t>
      </w:r>
    </w:p>
    <w:p w:rsidR="00CD433C" w:rsidRPr="00CD433C" w:rsidRDefault="00CD433C" w:rsidP="00542F4D">
      <w:pPr>
        <w:numPr>
          <w:ilvl w:val="0"/>
          <w:numId w:val="7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 xml:space="preserve">doklad prokazující schopnost dodavatele zabezpečit ochranu utajovaných informací, </w:t>
      </w:r>
    </w:p>
    <w:p w:rsidR="00CD433C" w:rsidRPr="00CD433C" w:rsidRDefault="00CD433C" w:rsidP="00542F4D">
      <w:pPr>
        <w:numPr>
          <w:ilvl w:val="0"/>
          <w:numId w:val="7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doklad, že vybraní dodavatelé přijali určitou formu spolupráce pro plnění veřejné zakázky dle zadávací dokumentace a</w:t>
      </w:r>
    </w:p>
    <w:p w:rsidR="00CD433C" w:rsidRPr="00F3418E" w:rsidRDefault="000E7161" w:rsidP="00542F4D">
      <w:pPr>
        <w:pStyle w:val="slovanseznam"/>
        <w:spacing w:before="120" w:after="120" w:line="276" w:lineRule="auto"/>
        <w:ind w:left="714" w:hanging="357"/>
        <w:rPr>
          <w:i/>
          <w:iCs/>
        </w:rPr>
      </w:pPr>
      <w:r w:rsidRPr="00F3418E">
        <w:rPr>
          <w:rFonts w:ascii="Palatino Linotype" w:hAnsi="Palatino Linotype"/>
          <w:i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veřejné zakázky]"/>
            </w:textInput>
          </w:ffData>
        </w:fldChar>
      </w:r>
      <w:r w:rsidR="00F3418E" w:rsidRPr="00F3418E">
        <w:rPr>
          <w:rFonts w:ascii="Palatino Linotype" w:hAnsi="Palatino Linotype"/>
          <w:i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highlight w:val="yellow"/>
        </w:rPr>
      </w:r>
      <w:r w:rsidRPr="00F3418E">
        <w:rPr>
          <w:rFonts w:ascii="Palatino Linotype" w:hAnsi="Palatino Linotype"/>
          <w:i/>
          <w:highlight w:val="yellow"/>
        </w:rPr>
        <w:fldChar w:fldCharType="separate"/>
      </w:r>
      <w:r w:rsidR="00F3418E" w:rsidRPr="00F3418E">
        <w:rPr>
          <w:rFonts w:ascii="Palatino Linotype" w:hAnsi="Palatino Linotype"/>
          <w:i/>
          <w:noProof/>
          <w:highlight w:val="yellow"/>
        </w:rPr>
        <w:t>[k doplnění]</w:t>
      </w:r>
      <w:r w:rsidRPr="00F3418E">
        <w:rPr>
          <w:rFonts w:ascii="Palatino Linotype" w:hAnsi="Palatino Linotype"/>
          <w:i/>
          <w:highlight w:val="yellow"/>
        </w:rPr>
        <w:fldChar w:fldCharType="end"/>
      </w:r>
      <w:r w:rsidR="00CD433C" w:rsidRPr="00F3418E">
        <w:rPr>
          <w:rFonts w:ascii="Palatino Linotype" w:hAnsi="Palatino Linotype"/>
          <w:i/>
          <w:sz w:val="22"/>
          <w:szCs w:val="22"/>
        </w:rPr>
        <w:t xml:space="preserve">. </w:t>
      </w:r>
    </w:p>
    <w:p w:rsidR="00CD433C" w:rsidRPr="00CD433C" w:rsidRDefault="00CD433C" w:rsidP="00542F4D">
      <w:pPr>
        <w:numPr>
          <w:ilvl w:val="0"/>
          <w:numId w:val="3"/>
        </w:numPr>
        <w:autoSpaceDE/>
        <w:autoSpaceDN/>
        <w:spacing w:before="240" w:after="240" w:line="276" w:lineRule="auto"/>
        <w:ind w:left="357" w:hanging="357"/>
        <w:jc w:val="both"/>
        <w:rPr>
          <w:rFonts w:ascii="Palatino Linotype" w:hAnsi="Palatino Linotype"/>
          <w:sz w:val="22"/>
          <w:szCs w:val="22"/>
          <w:lang w:val="en-US"/>
        </w:rPr>
      </w:pPr>
      <w:r w:rsidRPr="00CD433C">
        <w:rPr>
          <w:rFonts w:ascii="Palatino Linotype" w:hAnsi="Palatino Linotype"/>
          <w:sz w:val="22"/>
          <w:szCs w:val="22"/>
        </w:rPr>
        <w:lastRenderedPageBreak/>
        <w:t xml:space="preserve">Na základě výše uvedené výzvy vybraný dodavatel požadované údaje a doklady doložil dne </w:t>
      </w:r>
      <w:r w:rsidR="00F3418E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="00F3418E">
        <w:rPr>
          <w:rFonts w:ascii="Palatino Linotype" w:hAnsi="Palatino Linotype"/>
          <w:i/>
          <w:sz w:val="22"/>
          <w:szCs w:val="22"/>
        </w:rPr>
        <w:t>.</w:t>
      </w:r>
      <w:r w:rsidRPr="00CD433C">
        <w:rPr>
          <w:rFonts w:ascii="Palatino Linotype" w:hAnsi="Palatino Linotype"/>
          <w:sz w:val="22"/>
          <w:szCs w:val="22"/>
          <w:lang w:val="en-US"/>
        </w:rPr>
        <w:t xml:space="preserve"> </w:t>
      </w:r>
    </w:p>
    <w:p w:rsidR="00CD433C" w:rsidRPr="00CD433C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Identifikační údaje vybraného dodavatele: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40"/>
        <w:gridCol w:w="5700"/>
      </w:tblGrid>
      <w:tr w:rsidR="00F3418E" w:rsidRPr="00CD433C" w:rsidTr="00802ED5">
        <w:trPr>
          <w:tblHeader/>
          <w:jc w:val="center"/>
        </w:trPr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802ED5">
            <w:pPr>
              <w:spacing w:after="120"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Obchodní jméno vybraného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542F4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Identifikační údaje vybraného dodavatele</w:t>
            </w:r>
          </w:p>
        </w:tc>
      </w:tr>
      <w:bookmarkStart w:id="3" w:name="Text16"/>
      <w:tr w:rsidR="00F3418E" w:rsidRPr="00CD433C" w:rsidTr="00802ED5">
        <w:trPr>
          <w:jc w:val="center"/>
        </w:trPr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0E7161" w:rsidP="00802ED5">
            <w:pPr>
              <w:spacing w:line="276" w:lineRule="auto"/>
              <w:rPr>
                <w:rFonts w:ascii="Palatino Linotype" w:hAnsi="Palatino Linotype"/>
                <w:i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obchodní jméno dodavatele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i/>
                <w:noProof/>
                <w:sz w:val="22"/>
                <w:szCs w:val="22"/>
                <w:highlight w:val="yellow"/>
              </w:rPr>
              <w:t>[obchodní jméno účastníka]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IČ</w:t>
            </w:r>
            <w:r>
              <w:rPr>
                <w:rFonts w:ascii="Palatino Linotype" w:hAnsi="Palatino Linotype"/>
                <w:sz w:val="22"/>
                <w:szCs w:val="22"/>
              </w:rPr>
              <w:t>O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: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 sídlem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zastoupený pro účely jednání o shora uvedené veřejné zakázce 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</w:p>
          <w:p w:rsidR="00F3418E" w:rsidRPr="00F3418E" w:rsidRDefault="000E7161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Poznámka: V případě sdružení uchazečů je třeba uvést identifikační údaje všech členů sdružení.]"/>
                  </w:textInput>
                </w:ffData>
              </w:fldChar>
            </w:r>
            <w:r w:rsidR="00F3418E"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instrText xml:space="preserve"> FORMTEXT </w:instrTex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separate"/>
            </w:r>
            <w:r w:rsidR="00F3418E" w:rsidRPr="00F3418E">
              <w:rPr>
                <w:rFonts w:ascii="Palatino Linotype" w:hAnsi="Palatino Linotype"/>
                <w:bCs/>
                <w:i/>
                <w:noProof/>
                <w:sz w:val="22"/>
                <w:szCs w:val="22"/>
                <w:highlight w:val="yellow"/>
              </w:rPr>
              <w:t>[Poznámka: V případě sdružení dodavatelů je třeba uvést identifikační údaje všech členů sdružení.]</w:t>
            </w:r>
            <w:r w:rsidRPr="00F3418E">
              <w:rPr>
                <w:rFonts w:ascii="Palatino Linotype" w:hAnsi="Palatino Linotype"/>
                <w:bCs/>
                <w:i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D433C" w:rsidRPr="00CD433C" w:rsidRDefault="00CD433C" w:rsidP="00542F4D">
      <w:pPr>
        <w:spacing w:before="240" w:after="12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Seznam dokladů, kterými vybraný dodavatel prokazoval kvalifikaci, včetně uvedení údajů rozhodných pro prokázání splnění jednotlivých kritérií kvalifikace: </w:t>
      </w:r>
    </w:p>
    <w:p w:rsidR="00CD433C" w:rsidRPr="00CD433C" w:rsidRDefault="00CD433C" w:rsidP="00542F4D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Základní způsobilost dle ust. § 74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802ED5">
            <w:pPr>
              <w:spacing w:after="120"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Způsobilým </w:t>
            </w:r>
            <w:r w:rsidR="00BE3E2D">
              <w:rPr>
                <w:rFonts w:ascii="Palatino Linotype" w:hAnsi="Palatino Linotype"/>
                <w:b/>
                <w:sz w:val="22"/>
                <w:szCs w:val="22"/>
              </w:rPr>
              <w:t>je</w:t>
            </w: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 xml:space="preserve"> dodavatel, který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542F4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b/>
                <w:sz w:val="22"/>
                <w:szCs w:val="22"/>
              </w:rPr>
              <w:t>Název dokladu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802ED5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 v zemi svého sídla v posledních 5</w:t>
            </w:r>
            <w:r w:rsidR="00802ED5">
              <w:rPr>
                <w:rFonts w:ascii="Palatino Linotype" w:hAnsi="Palatino Linotype"/>
                <w:sz w:val="22"/>
                <w:szCs w:val="22"/>
              </w:rPr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letech před zahájením zadávacího řízení pravomocně odsouzen pro t</w:t>
            </w:r>
            <w:r w:rsidR="00802ED5">
              <w:rPr>
                <w:rFonts w:ascii="Palatino Linotype" w:hAnsi="Palatino Linotype"/>
                <w:sz w:val="22"/>
                <w:szCs w:val="22"/>
              </w:rPr>
              <w:t>restný čin uvedený v příloze č. </w:t>
            </w:r>
            <w:r w:rsidR="00CD433C" w:rsidRPr="00802ED5">
              <w:t>3</w:t>
            </w:r>
            <w:r w:rsidR="00802ED5">
              <w:t> </w:t>
            </w:r>
            <w:r w:rsidR="00CD433C" w:rsidRPr="00802ED5">
              <w:t>k</w:t>
            </w:r>
            <w:r w:rsidR="00802ED5">
              <w:t> 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tomuto zákonu nebo obdobný trestný čin podle právního řádu země sídla dodavatele; k zahlazeným odsouzením se nepřihlíží,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evidence Rejstříku trestů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802ED5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v evidenci daní zachycen splatný daňový nedoplatek,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Finančního úřadu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ve vztahu ke spotřební dani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má v České republice nebo v zemi svého sídla splatný nedoplatek na pojistném nebo na penále na veřejné zdravotní pojištění,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má v České republice nebo v zemi svého sídla splatný nedoplatek na pojistném nebo na penále na sociální zabezpečení a příspěvku na státní 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>politiku zaměstnanosti,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Potvrzení Okresní správy sociálního zabezpečení v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6"/>
              </w:numPr>
              <w:autoSpaceDE/>
              <w:autoSpaceDN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BE3E2D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není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 v likvidaci, proti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bylo vydáno rozhodnutí o úpadku, vůči němuž </w:t>
            </w:r>
            <w:r>
              <w:rPr>
                <w:rFonts w:ascii="Palatino Linotype" w:hAnsi="Palatino Linotype"/>
                <w:sz w:val="22"/>
                <w:szCs w:val="22"/>
              </w:rPr>
              <w:t>ne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>byla nařízena nucená správa podle jiného právního předpisu nebo v obdobné situaci podle právního řádu země sídla dodavatele.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</w:t>
            </w:r>
            <w:r w:rsidRPr="00F3418E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písemné čestné prohlášení dodavatele, který není zapsán v obchodním rejstříku podepsané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542F4D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Profesní způsobilost dle ust. § 77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Způsobilým je dodavatel, který předloží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výpis z obchodního rejstříku nebo jiné obdobné evidence, pokud jiný právní předpis zápis do takové evidence vyžaduje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Např. výpis z obchodního rejstříku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oprávnění podnikat v rozsahu odpovídajícímu předmětu veřejné zakázky, pokud jiné právní předpisy takové oprávnění vyžadují,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výpis ze živnostenského rejstříku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členství v profesní samosprávné komoře nebo jiné profesní organizaci, je-li takové členství pro plnění veřejné zakázky na služby jinými právními předpisy vyžadováno,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Např. doklad o členství v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> 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ČAK</w:t>
            </w:r>
            <w:r w:rsidR="00BE3E2D">
              <w:rPr>
                <w:rFonts w:ascii="Palatino Linotype" w:hAnsi="Palatino Linotype"/>
                <w:sz w:val="22"/>
                <w:szCs w:val="22"/>
              </w:rPr>
              <w:t xml:space="preserve"> (České advokátní komoře</w:t>
            </w:r>
            <w:r w:rsidR="00E80C94">
              <w:rPr>
                <w:rFonts w:ascii="Palatino Linotype" w:hAnsi="Palatino Linotype"/>
                <w:sz w:val="22"/>
                <w:szCs w:val="22"/>
              </w:rPr>
              <w:t>)</w:t>
            </w:r>
            <w:r w:rsidR="00C4445B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 členství v ČKAIT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82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o tom, že je odborně způsobilý nebo že disponuje osobou, jejímž prostřednictvím odbornou způsobilost zabezpečuje, je-li pro plnění veřejné zakázky odborná způsobilost jinými právními předpisy vyžadována.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BE3E2D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osvědčení podle zákona č. 360/1992 Sb.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="00BE3E2D">
              <w:rPr>
                <w:rFonts w:ascii="Palatino Linotype" w:hAnsi="Palatino Linotype"/>
                <w:i/>
                <w:sz w:val="22"/>
                <w:szCs w:val="22"/>
              </w:rPr>
              <w:t>/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>osvědčení podle zákona č.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 </w:t>
            </w:r>
            <w:r w:rsidR="00BE3E2D" w:rsidRPr="00BE3E2D">
              <w:rPr>
                <w:rFonts w:ascii="Palatino Linotype" w:hAnsi="Palatino Linotype"/>
                <w:sz w:val="22"/>
                <w:szCs w:val="22"/>
              </w:rPr>
              <w:t xml:space="preserve">85/1996 Sb., o advokacii, v platném znění. 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</w:p>
        </w:tc>
      </w:tr>
      <w:tr w:rsidR="00CD433C" w:rsidRPr="00CD433C" w:rsidTr="00802ED5">
        <w:trPr>
          <w:trHeight w:val="82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8"/>
              </w:numPr>
              <w:autoSpaceDE/>
              <w:autoSpaceDN/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0E7161" w:rsidP="00542F4D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lastRenderedPageBreak/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 uvedených pod písmeny b) až d) nepožadoval, dané řádky odstraní.</w:t>
      </w:r>
    </w:p>
    <w:p w:rsidR="00CD433C" w:rsidRPr="00542F4D" w:rsidRDefault="00CD433C" w:rsidP="00542F4D">
      <w:pPr>
        <w:spacing w:before="24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Do řádku "Údaje rozhodné pro prokázání splnění kvalifikace" referent zakázky uvede údaje prokazující splnění profesní způsobilosti dle zadávací dokumentace. Pokud např. zadavatel požadoval 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osvědčení podle zákona č. 360/1992 Sb., o výkonu povolání autorizovaných architektů a o výkonu povolání autorizovaných inženýrů a techniků činných ve výstavbě, ve znění pozdějších předpisů, uvede jméno osoby, pro kterou bylo osvědčení vydáno a obor, pro který bylo vydáno, který musí odpovídat požadavkům zadávací dokumentace.</w:t>
      </w: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="000E7161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542F4D" w:rsidRDefault="00CD433C" w:rsidP="00542F4D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Ekonomická kvalifikace dle ust. § 78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Požadavky zadavatele na ekonomickou kvalifikaci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before="12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802ED5">
        <w:trPr>
          <w:trHeight w:val="157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542F4D">
            <w:pPr>
              <w:spacing w:before="120" w:after="120"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Minimální roční obrat dodavatele, nebo obrat dosažený dodavatelem s ohledem na předmět veřejné zakázky, musí dosahovat úrovně minimálně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, a to nejdéle za 3 bezprostředně předcházející účetní období; jestliže dodavatel vznikl později, postačí, předloží-li údaje o svém obratu v požadované výši za všechna účetní období od svého vzniku.</w:t>
            </w:r>
          </w:p>
          <w:p w:rsidR="00CD433C" w:rsidRPr="00CD433C" w:rsidRDefault="00CD433C" w:rsidP="00542F4D">
            <w:pPr>
              <w:spacing w:before="120" w:after="120"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Např. výkaz zisků a ztrát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57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pStyle w:val="odstavec"/>
              <w:spacing w:after="120" w:line="276" w:lineRule="auto"/>
              <w:ind w:firstLine="0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before="120" w:after="120"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before="120" w:after="120"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0E7161" w:rsidP="00542F4D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Dodavatel prokáže obrat výkazem zisku a ztrát dodavatele nebo obdobným dokladem podle právního řádu země sídla dodavatele.]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</w:p>
    <w:p w:rsidR="00CD433C" w:rsidRPr="00F3418E" w:rsidRDefault="00CD433C" w:rsidP="00542F4D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Do řádku "Údaje rozhodné pro prokázání splnění kvalifikace" referent zakázky uvede údaje prokazující splnění ekonomické kvalifikace dle zadávací dokumentace, tj. výši ročního obratu a účetní období, ve kterých byl daný obrat dosažen.]</w:t>
      </w:r>
      <w:r w:rsidR="000E7161"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542F4D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sz w:val="22"/>
          <w:szCs w:val="22"/>
          <w:u w:val="single"/>
        </w:rPr>
      </w:pPr>
      <w:r w:rsidRPr="00CD433C">
        <w:rPr>
          <w:rFonts w:ascii="Palatino Linotype" w:hAnsi="Palatino Linotype"/>
          <w:b/>
          <w:sz w:val="22"/>
          <w:szCs w:val="22"/>
          <w:u w:val="single"/>
        </w:rPr>
        <w:t>Technická kvalifikace dle ust. § 79 ZZVZ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4155"/>
        <w:gridCol w:w="4785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Zadavatel požadoval</w:t>
            </w:r>
          </w:p>
        </w:tc>
        <w:tc>
          <w:tcPr>
            <w:tcW w:w="4785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Název dokladu</w:t>
            </w:r>
          </w:p>
        </w:tc>
      </w:tr>
      <w:tr w:rsidR="00CD433C" w:rsidRPr="00CD433C" w:rsidTr="00802ED5">
        <w:trPr>
          <w:trHeight w:val="72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noProof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stavebních prací poskytnutých za posledních 5 let před zahájením zadávacího řízení včetně osvědčení objednatele o řádném poskytnutí a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dokončení nejvýznamnějších z těchto prací;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posledních 5 let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F3418E" w:rsidRPr="00F3418E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lastRenderedPageBreak/>
              <w:t xml:space="preserve"> Seznam stavebních prací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objednatele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72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CD433C" w:rsidRPr="00CD433C" w:rsidTr="00802ED5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4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color w:val="FF0000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dodávek nebo významných služeb poskytnutých za poslední 3 roky před zahájením zadávacího řízení včetně uvedení ceny a doby jejich poskytnutí a identifikace objednatele; 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zadavatel stanovil, že budou zohledněny doklady i za dobu delší než poslední 3 roky před zahájením zadávacího řízení, pokud je to nezbytné pro zajištění přiměřené úrovně hospodářské soutěže,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významných </w:t>
            </w:r>
            <w:r w:rsidR="00E674BC">
              <w:rPr>
                <w:rFonts w:ascii="Palatino Linotype" w:hAnsi="Palatino Linotype"/>
                <w:sz w:val="22"/>
                <w:szCs w:val="22"/>
              </w:rPr>
              <w:t>dodávek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/Seznam významných služeb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E674BC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14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10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  <w:r w:rsidRPr="00CD433C">
              <w:rPr>
                <w:rFonts w:ascii="Palatino Linotype" w:hAnsi="Palatino Linotype"/>
                <w:sz w:val="22"/>
                <w:szCs w:val="22"/>
                <w:lang w:val="cs-CZ"/>
              </w:rPr>
              <w:t>seznam techniků nebo technických útvarů, které se budou podílet na plnění veřejné zakázky, a to zejména těch, které zajišťují kontrolu kvality nebo budou provádět stavební práce, bez ohledu na to, zda jde o zaměstnance dodavatele nebo osoby v jiném vztahu k dodavateli,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Seznam techniků vystavený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10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pStyle w:val="psmeno"/>
              <w:tabs>
                <w:tab w:val="clear" w:pos="357"/>
              </w:tabs>
              <w:spacing w:line="276" w:lineRule="auto"/>
              <w:ind w:left="0" w:firstLine="0"/>
              <w:rPr>
                <w:rFonts w:ascii="Palatino Linotype" w:hAnsi="Palatino Linotype"/>
                <w:sz w:val="22"/>
                <w:szCs w:val="22"/>
                <w:lang w:val="cs-CZ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F3418E" w:rsidRPr="00F3418E" w:rsidRDefault="00F3418E" w:rsidP="00542F4D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</w:p>
        </w:tc>
      </w:tr>
      <w:tr w:rsidR="00CD433C" w:rsidRPr="00CD433C" w:rsidTr="00802ED5">
        <w:trPr>
          <w:trHeight w:val="96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osvědčení o vzdělání a odborné kvalifikaci vztahující se k požadovaným dodávkám, službám nebo stavebním </w:t>
            </w:r>
            <w:proofErr w:type="spellStart"/>
            <w:r w:rsidRPr="00CD433C">
              <w:rPr>
                <w:rFonts w:ascii="Palatino Linotype" w:hAnsi="Palatino Linotype"/>
                <w:sz w:val="22"/>
                <w:szCs w:val="22"/>
              </w:rPr>
              <w:t>prace</w:t>
            </w:r>
            <w:bookmarkStart w:id="4" w:name="_GoBack"/>
            <w:bookmarkEnd w:id="4"/>
            <w:r w:rsidRPr="00CD433C">
              <w:rPr>
                <w:rFonts w:ascii="Palatino Linotype" w:hAnsi="Palatino Linotype"/>
                <w:sz w:val="22"/>
                <w:szCs w:val="22"/>
              </w:rPr>
              <w:t>m</w:t>
            </w:r>
            <w:proofErr w:type="spellEnd"/>
            <w:r w:rsidRPr="00CD433C">
              <w:rPr>
                <w:rFonts w:ascii="Palatino Linotype" w:hAnsi="Palatino Linotype"/>
                <w:sz w:val="22"/>
                <w:szCs w:val="22"/>
              </w:rPr>
              <w:t>, a to jak ve vztahu k fyzickým osobám, které mohou dodávky, služby nebo stavební práce poskytovat, tak ve vztahu k jejich vedoucím pracovníkům,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Vysokoškolský diplom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/</w:t>
            </w:r>
          </w:p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Potvrzení o držení certifikátu pro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96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popis technického vybavení, popis opatření dodavatele k zajištění kvality nebo popis zařízení pro výzkum,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F3418E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technického vybavení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</w:p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opatření dodavatele k zajištění kvality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  <w:r w:rsidRPr="00F3418E">
              <w:rPr>
                <w:rFonts w:ascii="Palatino Linotype" w:hAnsi="Palatino Linotype"/>
                <w:sz w:val="22"/>
                <w:szCs w:val="22"/>
              </w:rPr>
              <w:t>/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Popis zařízení pro výzkum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o řízení dodavatelského řetězce a systémy sledování dodavatelského řetězce, které dodavatel bude moci uplatnit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Dodavatelský řetězec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38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provedení kontroly technické kapacity zadavatelem nebo jeho jménem příslušným úředním orgánem v zemi sídla dodavatele, a je-li to nutné, také provedení kontroly opatření týkajících se zabezpečení jakosti a výzkumu, a to vše za předpokladu, že služby, které mají být poskytnuty, jsou složité nebo jsou požadovány pro zcela zvláštní účely,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Zápis o provedení kontroly technické kapacity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138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opatření v oblasti řízení z hlediska ochrany životního prostředí, která bude dodavatel schopen použít při plnění veřejné zakázky,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bCs/>
                <w:sz w:val="22"/>
                <w:szCs w:val="22"/>
              </w:rPr>
              <w:t xml:space="preserve">Např. certifikát dle normy ISO 14000 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zaměřené na management životního prostředí v organizacích nebo certifikát EMAS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690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průměrného ročního počtu zaměstnanců dodavatele nebo počtu vedoucích zaměstnanců dodavatele nebo osob v obdobném postavení za poslední 3 roky,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4445B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Přehled počtu zaměstnanců/</w:t>
            </w:r>
            <w:r w:rsidR="00CD433C" w:rsidRPr="00CD433C">
              <w:rPr>
                <w:rFonts w:ascii="Palatino Linotype" w:hAnsi="Palatino Linotype"/>
                <w:sz w:val="22"/>
                <w:szCs w:val="22"/>
              </w:rPr>
              <w:t xml:space="preserve">vedoucích zaměstnanců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690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přehled nástrojů nebo pomůcek, provozních nebo technických zařízení, které bude mít dodavatel při plnění veřejné zakázky k dispozici,</w:t>
            </w:r>
            <w:r w:rsidR="002F7717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Přehled nástrojů nebo pomůcek, provozních nebo technických zařízení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555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 xml:space="preserve">Údaje rozhodné pro prokázání splnění </w:t>
            </w: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278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určených k dodání, 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Vzorky, popisy nebo fotografie výrobků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</w:t>
            </w:r>
            <w:r w:rsidR="006B388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 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doplnění]</w:t>
            </w:r>
          </w:p>
        </w:tc>
      </w:tr>
      <w:tr w:rsidR="00CD433C" w:rsidRPr="00CD433C" w:rsidTr="00802ED5">
        <w:trPr>
          <w:trHeight w:val="277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413"/>
          <w:jc w:val="center"/>
        </w:trPr>
        <w:tc>
          <w:tcPr>
            <w:tcW w:w="348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 w:val="restart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doklad prokazující shodu požadovaného výrobku s požadovanou technickou normou nebo technickým dokumentem.</w:t>
            </w: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Doklad o shodě výrobku </w:t>
            </w:r>
            <w:r w:rsidR="00F3418E"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trHeight w:val="412"/>
          <w:jc w:val="center"/>
        </w:trPr>
        <w:tc>
          <w:tcPr>
            <w:tcW w:w="348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9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155" w:type="dxa"/>
            <w:vMerge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785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b/>
                <w:sz w:val="22"/>
                <w:szCs w:val="22"/>
              </w:rPr>
              <w:t>Údaje rozhodné pro prokázání splnění kvalifikace</w:t>
            </w:r>
          </w:p>
          <w:p w:rsidR="00CD433C" w:rsidRPr="00CD433C" w:rsidRDefault="00CD433C" w:rsidP="00542F4D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CD433C" w:rsidRPr="00CD433C" w:rsidRDefault="00F3418E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F3418E" w:rsidRDefault="000E7161" w:rsidP="00542F4D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[Poznámka: Pokud zadavatel některé z dokladů/údajů/vzorků nepožadoval, dané řádky odstraní.]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0E7161" w:rsidP="00542F4D">
      <w:pPr>
        <w:spacing w:before="12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>[Do řádku "Údaje rozhodné pro prokázání splnění kvalifikace" referent zakázky uvede údaje prokazující splnění technické kvalifikace dle zadávací dokumentace. Pokud např. zadavatel požadoval, aby dodavatel poskytl 3 stavební práce spočívající v komplexní rekonstrukci (obnově) budovy v hodnotě rekonstrukce nejméně 15 mil. Kč bez DPH/rekonstrukce,</w:t>
      </w:r>
      <w:r w:rsidR="00CD433C"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uvede předmět stavební práce, dobu a místo realizace a její finanční objem, přičemž tyto údaje musí odpovídat požadavkům zadávací dokumentace.</w:t>
      </w:r>
      <w:r w:rsidR="00CD433C" w:rsidRPr="00F3418E">
        <w:rPr>
          <w:rFonts w:ascii="Palatino Linotype" w:hAnsi="Palatino Linotype"/>
          <w:i/>
          <w:noProof/>
          <w:sz w:val="22"/>
          <w:szCs w:val="22"/>
          <w:highlight w:val="yellow"/>
        </w:rPr>
        <w:t xml:space="preserve"> ]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F3418E" w:rsidRDefault="00CD433C" w:rsidP="00542F4D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i/>
          <w:sz w:val="22"/>
          <w:szCs w:val="22"/>
          <w:highlight w:val="yellow"/>
        </w:rPr>
        <w:t xml:space="preserve"> [Poznámka: </w:t>
      </w: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 xml:space="preserve">Zadavatel v tabulkách navíc uvede: </w:t>
      </w:r>
    </w:p>
    <w:p w:rsidR="00CD433C" w:rsidRPr="00F3418E" w:rsidRDefault="00CD433C" w:rsidP="00542F4D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se jedná o společné prokazování kvalifikace a</w:t>
      </w:r>
    </w:p>
    <w:p w:rsidR="00CD433C" w:rsidRPr="00F3418E" w:rsidRDefault="00CD433C" w:rsidP="00542F4D">
      <w:pPr>
        <w:numPr>
          <w:ilvl w:val="0"/>
          <w:numId w:val="5"/>
        </w:numPr>
        <w:autoSpaceDE/>
        <w:autoSpaceDN/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  <w:highlight w:val="yellow"/>
        </w:rPr>
      </w:pPr>
      <w:r w:rsidRPr="00F3418E">
        <w:rPr>
          <w:rFonts w:ascii="Palatino Linotype" w:hAnsi="Palatino Linotype"/>
          <w:bCs/>
          <w:i/>
          <w:sz w:val="22"/>
          <w:szCs w:val="22"/>
          <w:highlight w:val="yellow"/>
        </w:rPr>
        <w:t>informaci o tom, zda kvalifikace byla prokázána prostřednictvím jiných osob.</w:t>
      </w:r>
      <w:r w:rsidRPr="00F3418E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CD433C" w:rsidRPr="00542F4D" w:rsidRDefault="00CD433C" w:rsidP="00542F4D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Seznam dokladů nebo vzorků vztahujících se k předmětu plnění veřejné zakázky nebo kvalifikaci dodavatele: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542F4D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Požadavek zadavatele na </w:t>
            </w:r>
            <w:r w:rsidR="00C4445B">
              <w:rPr>
                <w:rFonts w:ascii="Palatino Linotype" w:hAnsi="Palatino Linotype"/>
                <w:sz w:val="22"/>
                <w:szCs w:val="22"/>
                <w:highlight w:val="yellow"/>
              </w:rPr>
              <w:t>doklady/</w:t>
            </w:r>
            <w:r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 xml:space="preserve"> vztahující se k </w:t>
            </w:r>
            <w:r w:rsidR="00C4445B">
              <w:rPr>
                <w:rFonts w:ascii="Palatino Linotype" w:hAnsi="Palatino Linotype"/>
                <w:sz w:val="22"/>
                <w:szCs w:val="22"/>
              </w:rPr>
              <w:t>předmětu plnění veřejné zakázky</w:t>
            </w:r>
            <w:r w:rsidRPr="00CD433C">
              <w:rPr>
                <w:rFonts w:ascii="Palatino Linotype" w:hAnsi="Palatino Linotype"/>
                <w:sz w:val="22"/>
                <w:szCs w:val="22"/>
              </w:rPr>
              <w:t>/kvalifikaci dodavatele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4445B" w:rsidP="00C4445B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</w:rPr>
              <w:t>Název dokladu/</w:t>
            </w:r>
            <w:r w:rsidR="00CD433C" w:rsidRPr="00F3418E">
              <w:rPr>
                <w:rFonts w:ascii="Palatino Linotype" w:hAnsi="Palatino Linotype"/>
                <w:sz w:val="22"/>
                <w:szCs w:val="22"/>
                <w:highlight w:val="yellow"/>
              </w:rPr>
              <w:t>vzorku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0"/>
              </w:numPr>
              <w:autoSpaceDE/>
              <w:autoSpaceDN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0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0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0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0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0E7161" w:rsidP="00542F4D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požadavky na předloží dokladů nebo vzorků, jejichž předloží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542F4D" w:rsidRDefault="00CD433C" w:rsidP="00542F4D">
      <w:pPr>
        <w:spacing w:before="120" w:after="240"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Výsledek zkoušky vzorků: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CD433C" w:rsidRPr="00CD433C" w:rsidTr="00802ED5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Označení vzorků, které byly předmětem zkoušky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CD433C">
            <w:pPr>
              <w:spacing w:after="120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CD433C">
              <w:rPr>
                <w:rFonts w:ascii="Palatino Linotype" w:hAnsi="Palatino Linotype"/>
                <w:sz w:val="22"/>
                <w:szCs w:val="22"/>
              </w:rPr>
              <w:t>Výsledek zkoušky včetně odůvodnění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1"/>
              </w:numPr>
              <w:autoSpaceDE/>
              <w:autoSpaceDN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b/>
                <w:noProof/>
                <w:sz w:val="22"/>
                <w:szCs w:val="22"/>
                <w:highlight w:val="green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1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b/>
                <w:color w:val="FF0000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1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1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  <w:tr w:rsidR="00CD433C" w:rsidRPr="00CD433C" w:rsidTr="00802ED5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D433C" w:rsidP="00802ED5">
            <w:pPr>
              <w:numPr>
                <w:ilvl w:val="0"/>
                <w:numId w:val="11"/>
              </w:numPr>
              <w:autoSpaceDE/>
              <w:autoSpaceDN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CD433C" w:rsidRPr="00CD433C" w:rsidRDefault="00CA7E20" w:rsidP="00802ED5">
            <w:pPr>
              <w:jc w:val="both"/>
              <w:rPr>
                <w:rFonts w:ascii="Palatino Linotype" w:hAnsi="Palatino Linotype"/>
                <w:sz w:val="22"/>
                <w:szCs w:val="22"/>
                <w:highlight w:val="yellow"/>
              </w:rPr>
            </w:pPr>
            <w:r w:rsidRPr="00F3418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[k doplnění]</w:t>
            </w:r>
          </w:p>
        </w:tc>
      </w:tr>
    </w:tbl>
    <w:p w:rsidR="00CD433C" w:rsidRPr="00CA7E20" w:rsidRDefault="000E7161" w:rsidP="00542F4D">
      <w:pPr>
        <w:spacing w:before="240" w:after="120" w:line="276" w:lineRule="auto"/>
        <w:jc w:val="both"/>
        <w:rPr>
          <w:rFonts w:ascii="Palatino Linotype" w:hAnsi="Palatino Linotype"/>
          <w:i/>
          <w:noProof/>
          <w:sz w:val="22"/>
          <w:szCs w:val="22"/>
          <w:highlight w:val="green"/>
        </w:rPr>
      </w:pP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[Poznámka: Potřebný počet řádků je vždy možno doplnit, popř. nepotřebné řádky odstranit.]"/>
            </w:textInput>
          </w:ffData>
        </w:fldChar>
      </w:r>
      <w:r w:rsidR="00CD433C" w:rsidRPr="00CA7E20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="00CD433C" w:rsidRPr="00CA7E20">
        <w:rPr>
          <w:rFonts w:ascii="Palatino Linotype" w:hAnsi="Palatino Linotype"/>
          <w:i/>
          <w:noProof/>
          <w:sz w:val="22"/>
          <w:szCs w:val="22"/>
          <w:highlight w:val="yellow"/>
        </w:rPr>
        <w:t>[Poznámka: Zadavatel uvede označní vzorků a výsledek jejich zkoušky včetně odůvodnění, jejichž úspěšný výsledek zkoušky je podmínkou uzavření smlouvy, pokud si je v zadávací dokumentaci vyhradil.]</w:t>
      </w:r>
      <w:r w:rsidRPr="00CA7E20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</w:p>
    <w:p w:rsidR="00CD433C" w:rsidRPr="00CD433C" w:rsidRDefault="00CD433C" w:rsidP="00542F4D">
      <w:pPr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  <w:highlight w:val="yellow"/>
        </w:rPr>
        <w:t>Příloha č. 1 – Prezenční listina</w:t>
      </w:r>
    </w:p>
    <w:p w:rsidR="004E0DEE" w:rsidRPr="00CD433C" w:rsidRDefault="004E0DEE" w:rsidP="00730750">
      <w:pPr>
        <w:pStyle w:val="Nadpis5"/>
        <w:keepNext/>
        <w:spacing w:before="1440" w:after="0" w:line="276" w:lineRule="auto"/>
        <w:ind w:left="2126" w:hanging="2126"/>
        <w:rPr>
          <w:rFonts w:ascii="Palatino Linotype" w:hAnsi="Palatino Linotype"/>
          <w:b w:val="0"/>
          <w:i w:val="0"/>
          <w:sz w:val="22"/>
          <w:szCs w:val="22"/>
        </w:rPr>
      </w:pPr>
      <w:r w:rsidRPr="00CD433C">
        <w:rPr>
          <w:rFonts w:ascii="Palatino Linotype" w:hAnsi="Palatino Linotype"/>
          <w:b w:val="0"/>
          <w:i w:val="0"/>
          <w:sz w:val="22"/>
          <w:szCs w:val="22"/>
        </w:rPr>
        <w:t xml:space="preserve">V Praze dne </w:t>
      </w:r>
      <w:r w:rsidRPr="00CD433C">
        <w:rPr>
          <w:rFonts w:ascii="Palatino Linotype" w:hAnsi="Palatino Linotype"/>
          <w:b w:val="0"/>
          <w:i w:val="0"/>
          <w:sz w:val="22"/>
          <w:szCs w:val="22"/>
          <w:highlight w:val="yellow"/>
        </w:rPr>
        <w:t>__.__.____</w:t>
      </w:r>
    </w:p>
    <w:tbl>
      <w:tblPr>
        <w:tblW w:w="0" w:type="auto"/>
        <w:tblLook w:val="01E0"/>
      </w:tblPr>
      <w:tblGrid>
        <w:gridCol w:w="4544"/>
      </w:tblGrid>
      <w:tr w:rsidR="004E0DEE" w:rsidRPr="00CD433C" w:rsidTr="004E0DEE">
        <w:tc>
          <w:tcPr>
            <w:tcW w:w="4544" w:type="dxa"/>
          </w:tcPr>
          <w:p w:rsidR="004E0DEE" w:rsidRPr="00CD433C" w:rsidRDefault="004E0DEE" w:rsidP="00542F4D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4E0DEE" w:rsidRPr="00CD433C" w:rsidRDefault="004E0DEE" w:rsidP="00542F4D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szCs w:val="22"/>
          <w:lang w:val="en-GB"/>
        </w:rPr>
      </w:pPr>
      <w:r w:rsidRPr="00CD433C">
        <w:rPr>
          <w:rFonts w:ascii="Palatino Linotype" w:hAnsi="Palatino Linotype"/>
          <w:iCs/>
          <w:sz w:val="22"/>
          <w:szCs w:val="22"/>
        </w:rPr>
        <w:t>____________________________</w:t>
      </w:r>
    </w:p>
    <w:p w:rsidR="004E0DEE" w:rsidRPr="00CD433C" w:rsidRDefault="006B3881" w:rsidP="00730750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4E0DEE" w:rsidRPr="00CD433C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4E0DEE" w:rsidRPr="00CD433C" w:rsidRDefault="004E0DEE" w:rsidP="00730750">
      <w:pPr>
        <w:keepNext/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  <w:lang w:eastAsia="en-GB"/>
        </w:rPr>
        <w:t>[</w:t>
      </w:r>
      <w:r w:rsidRPr="00CA7E20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</w:t>
      </w:r>
      <w:r w:rsidRPr="00CD433C">
        <w:rPr>
          <w:rFonts w:ascii="Palatino Linotype" w:hAnsi="Palatino Linotype"/>
          <w:sz w:val="22"/>
          <w:szCs w:val="22"/>
          <w:lang w:eastAsia="en-GB"/>
        </w:rPr>
        <w:t>]</w:t>
      </w:r>
    </w:p>
    <w:p w:rsidR="00CD433C" w:rsidRPr="00CD433C" w:rsidRDefault="00CD433C" w:rsidP="00C4445B">
      <w:pPr>
        <w:pageBreakBefore/>
        <w:spacing w:before="240" w:after="240" w:line="276" w:lineRule="auto"/>
        <w:jc w:val="both"/>
        <w:rPr>
          <w:rFonts w:ascii="Palatino Linotype" w:hAnsi="Palatino Linotype"/>
          <w:b/>
          <w:iCs/>
          <w:sz w:val="22"/>
          <w:szCs w:val="22"/>
        </w:rPr>
      </w:pPr>
      <w:r w:rsidRPr="00CA7E20">
        <w:rPr>
          <w:rFonts w:ascii="Palatino Linotype" w:hAnsi="Palatino Linotype"/>
          <w:b/>
          <w:iCs/>
          <w:sz w:val="22"/>
          <w:szCs w:val="22"/>
        </w:rPr>
        <w:lastRenderedPageBreak/>
        <w:t>Příloha č. 1 – Prezenční listina</w:t>
      </w:r>
    </w:p>
    <w:p w:rsidR="00CD433C" w:rsidRPr="00CD433C" w:rsidRDefault="00CD433C" w:rsidP="00C4445B">
      <w:pPr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CD433C">
        <w:rPr>
          <w:rFonts w:ascii="Palatino Linotype" w:hAnsi="Palatino Linotype"/>
          <w:b/>
          <w:caps/>
          <w:sz w:val="22"/>
          <w:szCs w:val="22"/>
        </w:rPr>
        <w:t xml:space="preserve">PREZENČNÍ LISTINA </w:t>
      </w:r>
    </w:p>
    <w:p w:rsidR="00CD433C" w:rsidRPr="00C4445B" w:rsidRDefault="00CD433C" w:rsidP="00C4445B">
      <w:pPr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 xml:space="preserve">z posouzení splnění podmínek účasti vybraného zadavatele, které se uskutečnilo dne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na </w:t>
      </w:r>
      <w:r w:rsidR="00CA7E20">
        <w:rPr>
          <w:rFonts w:ascii="Palatino Linotype" w:hAnsi="Palatino Linotype"/>
          <w:b/>
          <w:sz w:val="22"/>
          <w:szCs w:val="22"/>
        </w:rPr>
        <w:t xml:space="preserve">Magistrátu hlavního města Prahy, </w:t>
      </w:r>
      <w:r w:rsidR="00CA7E20" w:rsidRPr="00F3418E">
        <w:rPr>
          <w:rFonts w:ascii="Palatino Linotype" w:hAnsi="Palatino Linotype"/>
          <w:i/>
          <w:sz w:val="22"/>
          <w:szCs w:val="22"/>
          <w:highlight w:val="yellow"/>
        </w:rPr>
        <w:t>[k doplnění]</w:t>
      </w:r>
      <w:r w:rsidRPr="00CD433C">
        <w:rPr>
          <w:rFonts w:ascii="Palatino Linotype" w:hAnsi="Palatino Linotype"/>
          <w:b/>
          <w:sz w:val="22"/>
          <w:szCs w:val="22"/>
        </w:rPr>
        <w:t xml:space="preserve"> v rámci veřejné zakázky:</w:t>
      </w:r>
      <w:r w:rsidR="00CA7E20">
        <w:rPr>
          <w:rFonts w:ascii="Palatino Linotype" w:hAnsi="Palatino Linotype"/>
          <w:b/>
          <w:sz w:val="22"/>
          <w:szCs w:val="22"/>
        </w:rPr>
        <w:t xml:space="preserve"> „</w:t>
      </w:r>
      <w:r w:rsidR="00CA7E20" w:rsidRPr="00CA7E20">
        <w:rPr>
          <w:rFonts w:ascii="Palatino Linotype" w:hAnsi="Palatino Linotype"/>
          <w:b/>
          <w:i/>
          <w:sz w:val="22"/>
          <w:szCs w:val="22"/>
          <w:highlight w:val="yellow"/>
        </w:rPr>
        <w:t>Název veřejné zakázky</w:t>
      </w:r>
      <w:r w:rsidR="00CA7E20">
        <w:rPr>
          <w:rFonts w:ascii="Palatino Linotype" w:hAnsi="Palatino Linotype"/>
          <w:b/>
          <w:sz w:val="22"/>
          <w:szCs w:val="22"/>
        </w:rPr>
        <w:t>“</w:t>
      </w: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b/>
          <w:sz w:val="22"/>
          <w:szCs w:val="22"/>
        </w:rPr>
      </w:pPr>
      <w:r w:rsidRPr="00CD433C">
        <w:rPr>
          <w:rFonts w:ascii="Palatino Linotype" w:hAnsi="Palatino Linotype"/>
          <w:b/>
          <w:sz w:val="22"/>
          <w:szCs w:val="22"/>
        </w:rPr>
        <w:t>Jméno a příjmení</w:t>
      </w:r>
      <w:r w:rsidRPr="00CD433C">
        <w:rPr>
          <w:rFonts w:ascii="Palatino Linotype" w:hAnsi="Palatino Linotype"/>
          <w:b/>
          <w:sz w:val="22"/>
          <w:szCs w:val="22"/>
        </w:rPr>
        <w:tab/>
        <w:t xml:space="preserve">    Název/Zaměstnavatel</w:t>
      </w:r>
      <w:r w:rsidRPr="00CD433C">
        <w:rPr>
          <w:rFonts w:ascii="Palatino Linotype" w:hAnsi="Palatino Linotype"/>
          <w:b/>
          <w:sz w:val="22"/>
          <w:szCs w:val="22"/>
        </w:rPr>
        <w:tab/>
      </w:r>
      <w:r w:rsidRPr="00CD433C">
        <w:rPr>
          <w:rFonts w:ascii="Palatino Linotype" w:hAnsi="Palatino Linotype"/>
          <w:b/>
          <w:sz w:val="22"/>
          <w:szCs w:val="22"/>
        </w:rPr>
        <w:tab/>
      </w:r>
      <w:r w:rsidRPr="00CD433C">
        <w:rPr>
          <w:rFonts w:ascii="Palatino Linotype" w:hAnsi="Palatino Linotype"/>
          <w:b/>
          <w:sz w:val="22"/>
          <w:szCs w:val="22"/>
        </w:rPr>
        <w:tab/>
        <w:t>Podpis</w:t>
      </w: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C67793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C67793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 xml:space="preserve">    …………………….</w:t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ab/>
      </w:r>
      <w:r w:rsidR="00C67793">
        <w:rPr>
          <w:rFonts w:ascii="Palatino Linotype" w:hAnsi="Palatino Linotype"/>
          <w:sz w:val="22"/>
          <w:szCs w:val="22"/>
        </w:rPr>
        <w:tab/>
      </w:r>
      <w:r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C4445B">
      <w:pPr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67793" w:rsidP="00C4445B">
      <w:pPr>
        <w:tabs>
          <w:tab w:val="left" w:pos="2410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…………………….</w:t>
      </w:r>
      <w:r>
        <w:rPr>
          <w:rFonts w:ascii="Palatino Linotype" w:hAnsi="Palatino Linotype"/>
          <w:sz w:val="22"/>
          <w:szCs w:val="22"/>
        </w:rPr>
        <w:tab/>
        <w:t>…………………….</w:t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>
        <w:rPr>
          <w:rFonts w:ascii="Palatino Linotype" w:hAnsi="Palatino Linotype"/>
          <w:sz w:val="22"/>
          <w:szCs w:val="22"/>
        </w:rPr>
        <w:tab/>
      </w:r>
      <w:r w:rsidR="00CD433C" w:rsidRPr="00CD433C">
        <w:rPr>
          <w:rFonts w:ascii="Palatino Linotype" w:hAnsi="Palatino Linotype"/>
          <w:sz w:val="22"/>
          <w:szCs w:val="22"/>
        </w:rPr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CD433C">
        <w:rPr>
          <w:rFonts w:ascii="Palatino Linotype" w:hAnsi="Palatino Linotype"/>
          <w:sz w:val="22"/>
          <w:szCs w:val="22"/>
        </w:rPr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  <w:r w:rsidRPr="00CD433C">
        <w:rPr>
          <w:rFonts w:ascii="Palatino Linotype" w:hAnsi="Palatino Linotype"/>
          <w:sz w:val="22"/>
          <w:szCs w:val="22"/>
        </w:rPr>
        <w:tab/>
        <w:t>…………………….</w:t>
      </w:r>
    </w:p>
    <w:p w:rsidR="00CD433C" w:rsidRPr="00CD433C" w:rsidRDefault="00CD433C" w:rsidP="00C4445B">
      <w:pPr>
        <w:tabs>
          <w:tab w:val="left" w:pos="2410"/>
          <w:tab w:val="left" w:pos="6379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</w:p>
    <w:sectPr w:rsidR="00CD433C" w:rsidRPr="00CD433C" w:rsidSect="00542F4D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F4D" w:rsidRDefault="00542F4D" w:rsidP="0019523D">
      <w:r>
        <w:separator/>
      </w:r>
    </w:p>
  </w:endnote>
  <w:endnote w:type="continuationSeparator" w:id="0">
    <w:p w:rsidR="00542F4D" w:rsidRDefault="00542F4D" w:rsidP="00195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4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542F4D" w:rsidRPr="00EC54F9" w:rsidRDefault="00542F4D" w:rsidP="00C919B6">
            <w:pPr>
              <w:pStyle w:val="Zpa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542F4D" w:rsidRDefault="00542F4D">
            <w:pPr>
              <w:pStyle w:val="Zpat"/>
              <w:jc w:val="center"/>
            </w:pP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921F0">
              <w:rPr>
                <w:rFonts w:ascii="Palatino Linotype" w:hAnsi="Palatino Linotype"/>
                <w:b/>
                <w:noProof/>
                <w:sz w:val="22"/>
                <w:szCs w:val="22"/>
              </w:rPr>
              <w:t>4</w: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EC54F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EC54F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921F0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0E7161" w:rsidRPr="00EC54F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4206802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4206801"/>
          <w:docPartObj>
            <w:docPartGallery w:val="Page Numbers (Top of Page)"/>
            <w:docPartUnique/>
          </w:docPartObj>
        </w:sdtPr>
        <w:sdtContent>
          <w:p w:rsidR="00802ED5" w:rsidRPr="00802ED5" w:rsidRDefault="00802ED5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802ED5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02ED5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921F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02ED5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02ED5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B921F0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0E7161" w:rsidRPr="00802ED5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F4D" w:rsidRDefault="00542F4D" w:rsidP="0019523D">
      <w:r>
        <w:separator/>
      </w:r>
    </w:p>
  </w:footnote>
  <w:footnote w:type="continuationSeparator" w:id="0">
    <w:p w:rsidR="00542F4D" w:rsidRDefault="00542F4D" w:rsidP="00195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F4D" w:rsidRDefault="00542F4D" w:rsidP="00542F4D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42F4D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8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2F4D" w:rsidRDefault="00542F4D" w:rsidP="00542F4D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542F4D" w:rsidRDefault="00542F4D" w:rsidP="00802ED5">
    <w:pPr>
      <w:pStyle w:val="Zhlav"/>
      <w:jc w:val="both"/>
    </w:pPr>
    <w:r w:rsidRPr="004E0DEE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27 – zápis o posouzení splnění podmínek účasti vybraného dodavatele</w:t>
    </w:r>
    <w:r w:rsidR="00802ED5">
      <w:rPr>
        <w:rFonts w:ascii="Palatino Linotype" w:hAnsi="Palatino Linotype"/>
        <w:b/>
        <w:sz w:val="22"/>
        <w:szCs w:val="22"/>
      </w:rPr>
      <w:t xml:space="preserve"> </w:t>
    </w:r>
    <w:r>
      <w:rPr>
        <w:rFonts w:ascii="Palatino Linotype" w:hAnsi="Palatino Linotype"/>
        <w:b/>
        <w:i/>
      </w:rPr>
      <w:t>(pozn. pro zpracovatele: po vyplnění nutno vyma</w:t>
    </w:r>
    <w:r w:rsidR="00802ED5">
      <w:rPr>
        <w:rFonts w:ascii="Palatino Linotype" w:hAnsi="Palatino Linotype"/>
        <w:b/>
        <w:i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pStyle w:val="slovan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82640"/>
    <w:multiLevelType w:val="hybridMultilevel"/>
    <w:tmpl w:val="2D6A981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5E2018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0996E4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910B99"/>
    <w:multiLevelType w:val="hybridMultilevel"/>
    <w:tmpl w:val="7E364C68"/>
    <w:lvl w:ilvl="0" w:tplc="AB8CBA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E67FE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400133D1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8E40C73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7BAA0386"/>
    <w:multiLevelType w:val="hybridMultilevel"/>
    <w:tmpl w:val="088C3B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208AB"/>
    <w:rsid w:val="00021443"/>
    <w:rsid w:val="0003546F"/>
    <w:rsid w:val="00043E81"/>
    <w:rsid w:val="0004521D"/>
    <w:rsid w:val="000668BB"/>
    <w:rsid w:val="00067293"/>
    <w:rsid w:val="000672E4"/>
    <w:rsid w:val="00091C8B"/>
    <w:rsid w:val="000928C4"/>
    <w:rsid w:val="000A0E03"/>
    <w:rsid w:val="000D76EA"/>
    <w:rsid w:val="000E504D"/>
    <w:rsid w:val="000E7161"/>
    <w:rsid w:val="0011494F"/>
    <w:rsid w:val="00131D03"/>
    <w:rsid w:val="00133512"/>
    <w:rsid w:val="0013633E"/>
    <w:rsid w:val="00136E62"/>
    <w:rsid w:val="0014174E"/>
    <w:rsid w:val="0019523D"/>
    <w:rsid w:val="00196C77"/>
    <w:rsid w:val="001B29ED"/>
    <w:rsid w:val="001D03B3"/>
    <w:rsid w:val="001F3C84"/>
    <w:rsid w:val="00207341"/>
    <w:rsid w:val="0021113E"/>
    <w:rsid w:val="0022109D"/>
    <w:rsid w:val="002657D5"/>
    <w:rsid w:val="0027557C"/>
    <w:rsid w:val="00277973"/>
    <w:rsid w:val="002B1D58"/>
    <w:rsid w:val="002C7826"/>
    <w:rsid w:val="002E40FB"/>
    <w:rsid w:val="002F41F1"/>
    <w:rsid w:val="002F7717"/>
    <w:rsid w:val="00313060"/>
    <w:rsid w:val="003221D6"/>
    <w:rsid w:val="00342438"/>
    <w:rsid w:val="00352D6E"/>
    <w:rsid w:val="0036224A"/>
    <w:rsid w:val="003872C5"/>
    <w:rsid w:val="003A7A48"/>
    <w:rsid w:val="003C5A82"/>
    <w:rsid w:val="003C7FAC"/>
    <w:rsid w:val="003D4F13"/>
    <w:rsid w:val="003D63B9"/>
    <w:rsid w:val="003E2375"/>
    <w:rsid w:val="00431F32"/>
    <w:rsid w:val="0043632A"/>
    <w:rsid w:val="00440487"/>
    <w:rsid w:val="00452E6C"/>
    <w:rsid w:val="00453C02"/>
    <w:rsid w:val="004775A6"/>
    <w:rsid w:val="004825D8"/>
    <w:rsid w:val="004A3C55"/>
    <w:rsid w:val="004B4008"/>
    <w:rsid w:val="004B5853"/>
    <w:rsid w:val="004D3EF5"/>
    <w:rsid w:val="004D7850"/>
    <w:rsid w:val="004E0DEE"/>
    <w:rsid w:val="004F4913"/>
    <w:rsid w:val="005019C4"/>
    <w:rsid w:val="00532D52"/>
    <w:rsid w:val="0054234A"/>
    <w:rsid w:val="00542F4D"/>
    <w:rsid w:val="0055288C"/>
    <w:rsid w:val="00570A74"/>
    <w:rsid w:val="0057149D"/>
    <w:rsid w:val="005742ED"/>
    <w:rsid w:val="00592614"/>
    <w:rsid w:val="005B132F"/>
    <w:rsid w:val="005B5BF9"/>
    <w:rsid w:val="005C133B"/>
    <w:rsid w:val="005E786A"/>
    <w:rsid w:val="005F1E28"/>
    <w:rsid w:val="005F5187"/>
    <w:rsid w:val="00600DEE"/>
    <w:rsid w:val="00603AC8"/>
    <w:rsid w:val="00610449"/>
    <w:rsid w:val="00613766"/>
    <w:rsid w:val="00676072"/>
    <w:rsid w:val="00683420"/>
    <w:rsid w:val="006B3881"/>
    <w:rsid w:val="006F36C0"/>
    <w:rsid w:val="00702324"/>
    <w:rsid w:val="00726801"/>
    <w:rsid w:val="00727EC9"/>
    <w:rsid w:val="00730750"/>
    <w:rsid w:val="00740ED6"/>
    <w:rsid w:val="00744A19"/>
    <w:rsid w:val="007564D9"/>
    <w:rsid w:val="00764A15"/>
    <w:rsid w:val="007736CE"/>
    <w:rsid w:val="0078768B"/>
    <w:rsid w:val="00795FBA"/>
    <w:rsid w:val="007B1A93"/>
    <w:rsid w:val="007B2F76"/>
    <w:rsid w:val="007B53DA"/>
    <w:rsid w:val="007C22D7"/>
    <w:rsid w:val="007C3B2D"/>
    <w:rsid w:val="007F2377"/>
    <w:rsid w:val="008028A9"/>
    <w:rsid w:val="00802ED5"/>
    <w:rsid w:val="00826FD8"/>
    <w:rsid w:val="00866F81"/>
    <w:rsid w:val="008705AD"/>
    <w:rsid w:val="008753F8"/>
    <w:rsid w:val="00893A9D"/>
    <w:rsid w:val="00896B66"/>
    <w:rsid w:val="008A26B6"/>
    <w:rsid w:val="008A64E1"/>
    <w:rsid w:val="008C7D08"/>
    <w:rsid w:val="008D0C4E"/>
    <w:rsid w:val="008D7E8B"/>
    <w:rsid w:val="008F0262"/>
    <w:rsid w:val="008F6B4B"/>
    <w:rsid w:val="009231C3"/>
    <w:rsid w:val="009352C2"/>
    <w:rsid w:val="00941F65"/>
    <w:rsid w:val="00943E38"/>
    <w:rsid w:val="009954EC"/>
    <w:rsid w:val="009A15E8"/>
    <w:rsid w:val="009D04BE"/>
    <w:rsid w:val="009D246A"/>
    <w:rsid w:val="00A05879"/>
    <w:rsid w:val="00A06D09"/>
    <w:rsid w:val="00A26E86"/>
    <w:rsid w:val="00A3238A"/>
    <w:rsid w:val="00A40DA0"/>
    <w:rsid w:val="00A51E05"/>
    <w:rsid w:val="00A82584"/>
    <w:rsid w:val="00A93B13"/>
    <w:rsid w:val="00AB540C"/>
    <w:rsid w:val="00AC6F88"/>
    <w:rsid w:val="00AC7941"/>
    <w:rsid w:val="00AD12B9"/>
    <w:rsid w:val="00AE7C37"/>
    <w:rsid w:val="00B02F27"/>
    <w:rsid w:val="00B0309E"/>
    <w:rsid w:val="00B269FC"/>
    <w:rsid w:val="00B41647"/>
    <w:rsid w:val="00B4694C"/>
    <w:rsid w:val="00B55C31"/>
    <w:rsid w:val="00B83998"/>
    <w:rsid w:val="00B921F0"/>
    <w:rsid w:val="00B97F29"/>
    <w:rsid w:val="00BB6584"/>
    <w:rsid w:val="00BC4BE2"/>
    <w:rsid w:val="00BD17DE"/>
    <w:rsid w:val="00BE3E2D"/>
    <w:rsid w:val="00BE5FAE"/>
    <w:rsid w:val="00C21BFF"/>
    <w:rsid w:val="00C23611"/>
    <w:rsid w:val="00C316B9"/>
    <w:rsid w:val="00C4445B"/>
    <w:rsid w:val="00C63874"/>
    <w:rsid w:val="00C67793"/>
    <w:rsid w:val="00C85823"/>
    <w:rsid w:val="00C919B6"/>
    <w:rsid w:val="00CA7E20"/>
    <w:rsid w:val="00CC00AA"/>
    <w:rsid w:val="00CC07AB"/>
    <w:rsid w:val="00CD433C"/>
    <w:rsid w:val="00CD4351"/>
    <w:rsid w:val="00D307E2"/>
    <w:rsid w:val="00D32447"/>
    <w:rsid w:val="00D40BEE"/>
    <w:rsid w:val="00D53FF4"/>
    <w:rsid w:val="00D7588B"/>
    <w:rsid w:val="00D959A5"/>
    <w:rsid w:val="00DB64AF"/>
    <w:rsid w:val="00DB68FD"/>
    <w:rsid w:val="00DC48E0"/>
    <w:rsid w:val="00DC5151"/>
    <w:rsid w:val="00DC5322"/>
    <w:rsid w:val="00DD40F0"/>
    <w:rsid w:val="00DE0033"/>
    <w:rsid w:val="00DE3040"/>
    <w:rsid w:val="00DE6393"/>
    <w:rsid w:val="00E007C5"/>
    <w:rsid w:val="00E4139D"/>
    <w:rsid w:val="00E45343"/>
    <w:rsid w:val="00E62797"/>
    <w:rsid w:val="00E674BC"/>
    <w:rsid w:val="00E8051A"/>
    <w:rsid w:val="00E80C94"/>
    <w:rsid w:val="00EC00E2"/>
    <w:rsid w:val="00EC18D7"/>
    <w:rsid w:val="00EC504E"/>
    <w:rsid w:val="00EC54F9"/>
    <w:rsid w:val="00ED1668"/>
    <w:rsid w:val="00EE7831"/>
    <w:rsid w:val="00F07097"/>
    <w:rsid w:val="00F157F3"/>
    <w:rsid w:val="00F27AD0"/>
    <w:rsid w:val="00F3418E"/>
    <w:rsid w:val="00F547DF"/>
    <w:rsid w:val="00F623D7"/>
    <w:rsid w:val="00F67784"/>
    <w:rsid w:val="00F749FE"/>
    <w:rsid w:val="00F761E5"/>
    <w:rsid w:val="00FB6F3F"/>
    <w:rsid w:val="00FD33E3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l"/>
    <w:basedOn w:val="Normln"/>
    <w:link w:val="NzevChar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aliases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  <w:style w:type="paragraph" w:customStyle="1" w:styleId="psmeno">
    <w:name w:val="písmeno"/>
    <w:basedOn w:val="slovanseznam"/>
    <w:rsid w:val="00CD433C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lang w:val="en-US"/>
    </w:rPr>
  </w:style>
  <w:style w:type="paragraph" w:styleId="slovanseznam">
    <w:name w:val="List Number"/>
    <w:basedOn w:val="Normln"/>
    <w:uiPriority w:val="99"/>
    <w:unhideWhenUsed/>
    <w:rsid w:val="00CD433C"/>
    <w:pPr>
      <w:numPr>
        <w:numId w:val="7"/>
      </w:numPr>
      <w:autoSpaceDE/>
      <w:autoSpaceDN/>
      <w:contextualSpacing/>
    </w:pPr>
    <w:rPr>
      <w:sz w:val="24"/>
      <w:szCs w:val="24"/>
    </w:rPr>
  </w:style>
  <w:style w:type="paragraph" w:customStyle="1" w:styleId="odstavec">
    <w:name w:val="odstavec"/>
    <w:basedOn w:val="Normln"/>
    <w:rsid w:val="00CD433C"/>
    <w:pPr>
      <w:autoSpaceDE/>
      <w:autoSpaceDN/>
      <w:spacing w:before="120"/>
      <w:ind w:firstLine="482"/>
      <w:jc w:val="both"/>
    </w:pPr>
    <w:rPr>
      <w:sz w:val="24"/>
      <w:szCs w:val="24"/>
    </w:rPr>
  </w:style>
  <w:style w:type="character" w:customStyle="1" w:styleId="NzevChar">
    <w:name w:val="Název Char"/>
    <w:aliases w:val="tl Char"/>
    <w:link w:val="Nzev"/>
    <w:rsid w:val="00CD433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link w:val="Nadpis1Char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qFormat/>
    <w:rsid w:val="00676072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link w:val="PodtitulChar"/>
    <w:qFormat/>
    <w:rsid w:val="00744A19"/>
    <w:pPr>
      <w:jc w:val="center"/>
    </w:pPr>
    <w:rPr>
      <w:rFonts w:ascii="Garamond" w:hAnsi="Garamond"/>
      <w:b/>
      <w:bCs/>
      <w:sz w:val="28"/>
      <w:szCs w:val="24"/>
      <w:lang w:val="x-none" w:eastAsia="x-none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  <w:lang w:val="x-none" w:eastAsia="x-none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link w:val="Zkladntextodsazen2"/>
    <w:rsid w:val="007B1A93"/>
    <w:rPr>
      <w:sz w:val="24"/>
      <w:szCs w:val="24"/>
    </w:rPr>
  </w:style>
  <w:style w:type="paragraph" w:customStyle="1" w:styleId="Default">
    <w:name w:val="Default"/>
    <w:rsid w:val="005B5BF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1952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523D"/>
  </w:style>
  <w:style w:type="character" w:customStyle="1" w:styleId="ZhlavChar">
    <w:name w:val="Záhlaví Char"/>
    <w:link w:val="Zhlav"/>
    <w:uiPriority w:val="99"/>
    <w:rsid w:val="0019523D"/>
    <w:rPr>
      <w:sz w:val="24"/>
      <w:szCs w:val="24"/>
    </w:rPr>
  </w:style>
  <w:style w:type="character" w:customStyle="1" w:styleId="Nadpis5Char">
    <w:name w:val="Nadpis 5 Char"/>
    <w:link w:val="Nadpis5"/>
    <w:rsid w:val="00676072"/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customStyle="1" w:styleId="PodtitulChar">
    <w:name w:val="Podtitul Char"/>
    <w:link w:val="Podtitul"/>
    <w:rsid w:val="00676072"/>
    <w:rPr>
      <w:rFonts w:ascii="Garamond" w:hAnsi="Garamond"/>
      <w:b/>
      <w:bCs/>
      <w:sz w:val="28"/>
      <w:szCs w:val="24"/>
    </w:rPr>
  </w:style>
  <w:style w:type="character" w:styleId="Odkaznakoment">
    <w:name w:val="annotation reference"/>
    <w:rsid w:val="00AD12B9"/>
    <w:rPr>
      <w:sz w:val="16"/>
      <w:szCs w:val="16"/>
    </w:rPr>
  </w:style>
  <w:style w:type="paragraph" w:styleId="Textkomente">
    <w:name w:val="annotation text"/>
    <w:basedOn w:val="Normln"/>
    <w:link w:val="TextkomenteChar"/>
    <w:rsid w:val="00AD12B9"/>
  </w:style>
  <w:style w:type="character" w:customStyle="1" w:styleId="TextkomenteChar">
    <w:name w:val="Text komentáře Char"/>
    <w:basedOn w:val="Standardnpsmoodstavce"/>
    <w:link w:val="Textkomente"/>
    <w:rsid w:val="00AD12B9"/>
  </w:style>
  <w:style w:type="paragraph" w:styleId="Pedmtkomente">
    <w:name w:val="annotation subject"/>
    <w:basedOn w:val="Textkomente"/>
    <w:next w:val="Textkomente"/>
    <w:link w:val="PedmtkomenteChar"/>
    <w:rsid w:val="00AD12B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AD12B9"/>
    <w:rPr>
      <w:b/>
      <w:bCs/>
    </w:rPr>
  </w:style>
  <w:style w:type="paragraph" w:customStyle="1" w:styleId="Styl2">
    <w:name w:val="Styl2"/>
    <w:basedOn w:val="Normln"/>
    <w:rsid w:val="00A3238A"/>
    <w:pPr>
      <w:numPr>
        <w:numId w:val="2"/>
      </w:numPr>
      <w:autoSpaceDE/>
      <w:autoSpaceDN/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A3238A"/>
    <w:pPr>
      <w:numPr>
        <w:ilvl w:val="1"/>
        <w:numId w:val="2"/>
      </w:numPr>
      <w:autoSpaceDE/>
      <w:autoSpaceDN/>
      <w:spacing w:before="120"/>
      <w:jc w:val="both"/>
    </w:pPr>
    <w:rPr>
      <w:b/>
      <w:bCs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4E0DEE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1863</Words>
  <Characters>10993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2016-10-14T12:13:00Z</dcterms:created>
  <dcterms:modified xsi:type="dcterms:W3CDTF">2016-10-25T09:28:00Z</dcterms:modified>
</cp:coreProperties>
</file>