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4A5CAA" w:rsidRDefault="002E3182" w:rsidP="00C6605A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4A5CAA">
        <w:rPr>
          <w:rFonts w:ascii="Palatino Linotype" w:hAnsi="Palatino Linotype"/>
          <w:b/>
          <w:sz w:val="22"/>
          <w:szCs w:val="22"/>
        </w:rPr>
        <w:t>realizovat veřejnou zakázku</w:t>
      </w:r>
      <w:r w:rsidRPr="004A5CAA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Hlavy I</w:t>
      </w:r>
      <w:r w:rsidR="004A5CAA">
        <w:rPr>
          <w:rFonts w:ascii="Palatino Linotype" w:hAnsi="Palatino Linotype"/>
          <w:b/>
          <w:i/>
          <w:sz w:val="22"/>
          <w:szCs w:val="22"/>
        </w:rPr>
        <w:t>.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655275">
        <w:rPr>
          <w:rFonts w:ascii="Palatino Linotype" w:hAnsi="Palatino Linotype"/>
          <w:b/>
          <w:i/>
          <w:sz w:val="22"/>
          <w:szCs w:val="22"/>
        </w:rPr>
        <w:t>č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lánek 6 písm. e)</w:t>
      </w:r>
      <w:r w:rsidR="004A5CAA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4A5CAA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4A5CAA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BF1BD1" w:rsidRPr="004A5CAA" w:rsidRDefault="004A5CAA" w:rsidP="00C6605A">
      <w:pPr>
        <w:spacing w:before="120" w:after="120" w:line="276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(nad 20 000 </w:t>
      </w:r>
      <w:r w:rsidR="00C36712" w:rsidRPr="004A5CAA">
        <w:rPr>
          <w:rFonts w:ascii="Palatino Linotype" w:hAnsi="Palatino Linotype"/>
          <w:sz w:val="22"/>
          <w:szCs w:val="22"/>
        </w:rPr>
        <w:t>000 Kč bez DPH)</w:t>
      </w:r>
    </w:p>
    <w:p w:rsidR="00C6605A" w:rsidRPr="004A5CAA" w:rsidRDefault="00C6605A" w:rsidP="00C6605A">
      <w:pPr>
        <w:tabs>
          <w:tab w:val="left" w:pos="5103"/>
        </w:tabs>
        <w:spacing w:before="120" w:after="120" w:line="276" w:lineRule="auto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Odbor MHMP:…........................                               Pořadové č. záměru: ………….</w:t>
      </w:r>
    </w:p>
    <w:p w:rsidR="002E3182" w:rsidRPr="004A5CAA" w:rsidRDefault="00C6605A" w:rsidP="005D4D40">
      <w:pPr>
        <w:spacing w:before="120" w:after="240" w:line="276" w:lineRule="auto"/>
        <w:ind w:left="4956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(</w:t>
      </w:r>
      <w:r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>každý odbor vede číselnou řadu záměrů předkládaných Radě HMP od 1. 9. 2012</w:t>
      </w:r>
      <w:r w:rsidRPr="004A5CAA">
        <w:rPr>
          <w:rFonts w:ascii="Palatino Linotype" w:hAnsi="Palatino Linotype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7370"/>
      </w:tblGrid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[předmět zakázky – 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AE3CED" w:rsidRPr="00BD2A94" w:rsidRDefault="00AE3CED" w:rsidP="00A22349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A22349" w:rsidRPr="00BC3DF1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 řízení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AE3CED" w:rsidRPr="004A5CAA" w:rsidTr="00C6605A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4A5CAA" w:rsidTr="00C6605A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C6605A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ř. vychází ze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veřejná zakázka na dodávky; na služby; na stavební práce] </w:t>
            </w:r>
          </w:p>
          <w:p w:rsidR="00AE3CED" w:rsidRPr="00655275" w:rsidRDefault="00467A6F" w:rsidP="00C6605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jednací</w:t>
            </w:r>
            <w:r w:rsidR="00655275"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s uveřejněním</w:t>
            </w:r>
          </w:p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Způsob stanovení 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[stručný popis způsobu, jak byla pře</w:t>
            </w:r>
            <w:r w:rsidR="00217A1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dpokládaná hodnota stanovena – n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apř. na základě údajů o veřejné zakázce stejného/obdobného předmětu plnění, na základě průzkumu trhu; musí odpovídat záznamu o stanovení přepokládané hodnoty]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Druh zadávacího řízení</w:t>
            </w:r>
          </w:p>
        </w:tc>
        <w:tc>
          <w:tcPr>
            <w:tcW w:w="7370" w:type="dxa"/>
          </w:tcPr>
          <w:p w:rsidR="00AE3CED" w:rsidRPr="00655275" w:rsidRDefault="00467A6F" w:rsidP="00C6605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jednací</w:t>
            </w:r>
            <w:r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s uveřejněním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 kvalifikace</w:t>
            </w:r>
          </w:p>
        </w:tc>
        <w:tc>
          <w:tcPr>
            <w:tcW w:w="7370" w:type="dxa"/>
          </w:tcPr>
          <w:p w:rsidR="00AE3CED" w:rsidRPr="00BD2A94" w:rsidRDefault="008F78DC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nadlimitním režimu povinen vyžadovat prokázání veškeré základní způsobilosti stanovené v § 74 ZZVZ a profesní způsobilosti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dle § 77 odst. 1 ZZVZ.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Dále může požadovat prokázání ekonomické a technické kvalifikace.]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ekonomická výhodnost nabídky  x   nejnižší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655275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ekonomická výhodnost nabídky  x   nejnižší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]; 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doba realizace veřejné zakázky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Default="00AE3CED" w:rsidP="00C6605A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</w:tcPr>
          <w:p w:rsidR="00AE3CED" w:rsidRPr="00BD2A94" w:rsidRDefault="00AE3CED" w:rsidP="00C6605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084E6F" w:rsidRPr="004A5CAA" w:rsidTr="001C4564">
        <w:tc>
          <w:tcPr>
            <w:tcW w:w="1842" w:type="dxa"/>
          </w:tcPr>
          <w:p w:rsidR="00084E6F" w:rsidRDefault="00084E6F">
            <w:r w:rsidRPr="00B56BB9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0" w:type="dxa"/>
          </w:tcPr>
          <w:p w:rsidR="00217A18" w:rsidRPr="00BD2A94" w:rsidRDefault="00217A18" w:rsidP="00217A18">
            <w:pPr>
              <w:pStyle w:val="Styl3"/>
              <w:numPr>
                <w:ilvl w:val="0"/>
                <w:numId w:val="0"/>
              </w:numPr>
              <w:spacing w:before="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084E6F" w:rsidRDefault="00217A18" w:rsidP="00217A18"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doplněno, jestliže zadavatel ve smyslu ust. § 217 odst. 2 písm. m) ZZVZ nerozdělil nadlimitní veřejnou zakázku na části)</w:t>
            </w:r>
          </w:p>
        </w:tc>
      </w:tr>
      <w:tr w:rsidR="00084E6F" w:rsidRPr="004A5CAA" w:rsidTr="001C4564">
        <w:tc>
          <w:tcPr>
            <w:tcW w:w="1842" w:type="dxa"/>
          </w:tcPr>
          <w:p w:rsidR="00084E6F" w:rsidRPr="00BD2A94" w:rsidRDefault="00084E6F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prostředků při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podání nabídky namísto elektronických prostředků</w:t>
            </w:r>
          </w:p>
        </w:tc>
        <w:tc>
          <w:tcPr>
            <w:tcW w:w="7370" w:type="dxa"/>
          </w:tcPr>
          <w:p w:rsidR="00084E6F" w:rsidRPr="00BD2A94" w:rsidRDefault="00084E6F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084E6F" w:rsidRPr="004A5CAA" w:rsidTr="001C4564">
        <w:tc>
          <w:tcPr>
            <w:tcW w:w="1842" w:type="dxa"/>
          </w:tcPr>
          <w:p w:rsidR="00084E6F" w:rsidRPr="00BD2A94" w:rsidRDefault="00084E6F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0" w:type="dxa"/>
          </w:tcPr>
          <w:p w:rsidR="00084E6F" w:rsidRPr="00BD2A94" w:rsidRDefault="00084E6F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Zadavatel nebude zkracovat lhůtu pro podání nabídek.)  </w:t>
            </w:r>
          </w:p>
        </w:tc>
      </w:tr>
      <w:tr w:rsidR="00084E6F" w:rsidRPr="004A5CAA" w:rsidTr="001C4564">
        <w:tc>
          <w:tcPr>
            <w:tcW w:w="1842" w:type="dxa"/>
          </w:tcPr>
          <w:p w:rsidR="00084E6F" w:rsidRPr="00BD2A94" w:rsidRDefault="00084E6F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0" w:type="dxa"/>
          </w:tcPr>
          <w:p w:rsidR="00084E6F" w:rsidRPr="00BD2A94" w:rsidRDefault="00084E6F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C36712" w:rsidRPr="004A5CAA" w:rsidRDefault="005D4D40" w:rsidP="005D4D40">
      <w:pPr>
        <w:spacing w:before="240" w:line="276" w:lineRule="auto"/>
        <w:rPr>
          <w:rFonts w:ascii="Palatino Linotype" w:hAnsi="Palatino Linotype"/>
          <w:i/>
          <w:sz w:val="22"/>
          <w:szCs w:val="22"/>
        </w:rPr>
      </w:pPr>
      <w:r w:rsidRPr="004A5CAA">
        <w:rPr>
          <w:rFonts w:ascii="Palatino Linotype" w:hAnsi="Palatino Linotype"/>
          <w:i/>
          <w:sz w:val="22"/>
          <w:szCs w:val="22"/>
        </w:rPr>
        <w:t xml:space="preserve"> </w:t>
      </w:r>
      <w:r w:rsidR="00C36712" w:rsidRPr="004A5CAA">
        <w:rPr>
          <w:rFonts w:ascii="Palatino Linotype" w:hAnsi="Palatino Linotype"/>
          <w:i/>
          <w:sz w:val="22"/>
          <w:szCs w:val="22"/>
        </w:rPr>
        <w:t>(Další okolnosti veřejné zakázky je možno uvádět v přílohách důvodové zprávy.)</w:t>
      </w:r>
    </w:p>
    <w:sectPr w:rsidR="00C36712" w:rsidRPr="004A5CAA" w:rsidSect="00B61A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05A" w:rsidRDefault="00C6605A" w:rsidP="00EC26BC">
      <w:r>
        <w:separator/>
      </w:r>
    </w:p>
  </w:endnote>
  <w:endnote w:type="continuationSeparator" w:id="0">
    <w:p w:rsidR="00C6605A" w:rsidRDefault="00C6605A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2CF" w:rsidRDefault="00C652C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530"/>
      <w:docPartObj>
        <w:docPartGallery w:val="Page Numbers (Top of Page)"/>
        <w:docPartUnique/>
      </w:docPartObj>
    </w:sdtPr>
    <w:sdtContent>
      <w:p w:rsidR="005D4D40" w:rsidRDefault="005D4D40" w:rsidP="005D4D40">
        <w:pPr>
          <w:pStyle w:val="Zpat"/>
          <w:jc w:val="center"/>
        </w:pPr>
        <w:r>
          <w:t xml:space="preserve">Stránka </w:t>
        </w:r>
        <w:r w:rsidR="00E92D15">
          <w:rPr>
            <w:b/>
          </w:rPr>
          <w:fldChar w:fldCharType="begin"/>
        </w:r>
        <w:r>
          <w:rPr>
            <w:b/>
          </w:rPr>
          <w:instrText>PAGE</w:instrText>
        </w:r>
        <w:r w:rsidR="00E92D15">
          <w:rPr>
            <w:b/>
          </w:rPr>
          <w:fldChar w:fldCharType="separate"/>
        </w:r>
        <w:r w:rsidR="005D47FF">
          <w:rPr>
            <w:b/>
            <w:noProof/>
          </w:rPr>
          <w:t>2</w:t>
        </w:r>
        <w:r w:rsidR="00E92D15">
          <w:rPr>
            <w:b/>
          </w:rPr>
          <w:fldChar w:fldCharType="end"/>
        </w:r>
        <w:r>
          <w:t xml:space="preserve"> z </w:t>
        </w:r>
        <w:r w:rsidR="00E92D15">
          <w:rPr>
            <w:b/>
          </w:rPr>
          <w:fldChar w:fldCharType="begin"/>
        </w:r>
        <w:r>
          <w:rPr>
            <w:b/>
          </w:rPr>
          <w:instrText>NUMPAGES</w:instrText>
        </w:r>
        <w:r w:rsidR="00E92D15">
          <w:rPr>
            <w:b/>
          </w:rPr>
          <w:fldChar w:fldCharType="separate"/>
        </w:r>
        <w:r w:rsidR="005D47FF">
          <w:rPr>
            <w:b/>
            <w:noProof/>
          </w:rPr>
          <w:t>3</w:t>
        </w:r>
        <w:r w:rsidR="00E92D15">
          <w:rPr>
            <w:b/>
          </w:rPr>
          <w:fldChar w:fldCharType="end"/>
        </w:r>
      </w:p>
    </w:sdtContent>
  </w:sdt>
  <w:p w:rsidR="005D4D40" w:rsidRDefault="005D4D4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52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D4D40" w:rsidRDefault="005D4D40">
            <w:pPr>
              <w:pStyle w:val="Zpat"/>
              <w:jc w:val="center"/>
            </w:pPr>
            <w:r>
              <w:t xml:space="preserve">Stránka </w:t>
            </w:r>
            <w:r w:rsidR="00E92D1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E92D15">
              <w:rPr>
                <w:b/>
              </w:rPr>
              <w:fldChar w:fldCharType="separate"/>
            </w:r>
            <w:r w:rsidR="005D47FF">
              <w:rPr>
                <w:b/>
                <w:noProof/>
              </w:rPr>
              <w:t>1</w:t>
            </w:r>
            <w:r w:rsidR="00E92D15">
              <w:rPr>
                <w:b/>
              </w:rPr>
              <w:fldChar w:fldCharType="end"/>
            </w:r>
            <w:r>
              <w:t xml:space="preserve"> z </w:t>
            </w:r>
            <w:r w:rsidR="00E92D1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E92D15">
              <w:rPr>
                <w:b/>
              </w:rPr>
              <w:fldChar w:fldCharType="separate"/>
            </w:r>
            <w:r w:rsidR="005D47FF">
              <w:rPr>
                <w:b/>
                <w:noProof/>
              </w:rPr>
              <w:t>3</w:t>
            </w:r>
            <w:r w:rsidR="00E92D15">
              <w:rPr>
                <w:b/>
              </w:rPr>
              <w:fldChar w:fldCharType="end"/>
            </w:r>
          </w:p>
        </w:sdtContent>
      </w:sdt>
    </w:sdtContent>
  </w:sdt>
  <w:p w:rsidR="005D4D40" w:rsidRDefault="005D4D4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05A" w:rsidRDefault="00C6605A" w:rsidP="00EC26BC">
      <w:r>
        <w:separator/>
      </w:r>
    </w:p>
  </w:footnote>
  <w:footnote w:type="continuationSeparator" w:id="0">
    <w:p w:rsidR="00C6605A" w:rsidRDefault="00C6605A" w:rsidP="00EC26BC">
      <w:r>
        <w:continuationSeparator/>
      </w:r>
    </w:p>
  </w:footnote>
  <w:footnote w:id="1">
    <w:p w:rsidR="00C6605A" w:rsidRPr="00A22349" w:rsidRDefault="00C6605A" w:rsidP="00C6605A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A22349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A22349">
        <w:rPr>
          <w:rFonts w:ascii="Palatino Linotype" w:hAnsi="Palatino Linotype"/>
          <w:sz w:val="18"/>
          <w:szCs w:val="18"/>
        </w:rPr>
        <w:t xml:space="preserve"> Při stanovení předpokládané hodno</w:t>
      </w:r>
      <w:r w:rsidR="008F78DC" w:rsidRPr="00A22349">
        <w:rPr>
          <w:rFonts w:ascii="Palatino Linotype" w:hAnsi="Palatino Linotype"/>
          <w:sz w:val="18"/>
          <w:szCs w:val="18"/>
        </w:rPr>
        <w:t>ty byla brána</w:t>
      </w:r>
      <w:r w:rsidRPr="00A22349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ust. § 16 a násl. ZZVZ; PH je stanovena v souladu s ustanovením § 16 a násl. ZZVZ; bližší údaje obsahuje dokumentace VZ.</w:t>
      </w:r>
    </w:p>
  </w:footnote>
  <w:footnote w:id="2">
    <w:p w:rsidR="00C6605A" w:rsidRPr="00A22349" w:rsidRDefault="00C6605A" w:rsidP="00C6605A">
      <w:pPr>
        <w:pStyle w:val="Textpoznpodarou"/>
        <w:jc w:val="both"/>
        <w:rPr>
          <w:sz w:val="18"/>
          <w:szCs w:val="18"/>
        </w:rPr>
      </w:pPr>
      <w:r w:rsidRPr="00A22349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A22349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2CF" w:rsidRDefault="00C652C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2CF" w:rsidRDefault="00C652C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5A" w:rsidRDefault="00C6605A" w:rsidP="00B61AB5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295C4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602D" w:rsidRDefault="009F602D" w:rsidP="00B61AB5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C6605A" w:rsidRDefault="00C6605A" w:rsidP="00C6605A">
    <w:pPr>
      <w:pStyle w:val="Zhlav"/>
      <w:spacing w:line="276" w:lineRule="auto"/>
      <w:jc w:val="both"/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 – Záměr zadání veřejné zakázky nad </w:t>
    </w:r>
    <w:bookmarkStart w:id="0" w:name="_GoBack"/>
    <w:r w:rsidR="00C652CF">
      <w:rPr>
        <w:rFonts w:ascii="Palatino Linotype" w:hAnsi="Palatino Linotype"/>
        <w:b/>
        <w:sz w:val="22"/>
        <w:szCs w:val="22"/>
      </w:rPr>
      <w:t xml:space="preserve">(nad 20 000 000 Kč bez DPH) </w:t>
    </w:r>
    <w:bookmarkEnd w:id="0"/>
    <w:r w:rsidRPr="008A505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8369F"/>
    <w:rsid w:val="00084E6F"/>
    <w:rsid w:val="00091DD6"/>
    <w:rsid w:val="0009555C"/>
    <w:rsid w:val="000B596A"/>
    <w:rsid w:val="000C314F"/>
    <w:rsid w:val="00181D9E"/>
    <w:rsid w:val="001C4564"/>
    <w:rsid w:val="001D5C50"/>
    <w:rsid w:val="00217A18"/>
    <w:rsid w:val="002356F0"/>
    <w:rsid w:val="00244FF5"/>
    <w:rsid w:val="002C7F02"/>
    <w:rsid w:val="002E3182"/>
    <w:rsid w:val="00301E87"/>
    <w:rsid w:val="00324E53"/>
    <w:rsid w:val="00393F03"/>
    <w:rsid w:val="003A200A"/>
    <w:rsid w:val="003B08FB"/>
    <w:rsid w:val="003C61E4"/>
    <w:rsid w:val="00410079"/>
    <w:rsid w:val="00412C4C"/>
    <w:rsid w:val="004646B2"/>
    <w:rsid w:val="00467A6F"/>
    <w:rsid w:val="0048374A"/>
    <w:rsid w:val="00497DD3"/>
    <w:rsid w:val="004A5CAA"/>
    <w:rsid w:val="004D0377"/>
    <w:rsid w:val="00536206"/>
    <w:rsid w:val="00587AC0"/>
    <w:rsid w:val="005C5B6B"/>
    <w:rsid w:val="005D3C18"/>
    <w:rsid w:val="005D47FF"/>
    <w:rsid w:val="005D4D40"/>
    <w:rsid w:val="005E565B"/>
    <w:rsid w:val="005E56B2"/>
    <w:rsid w:val="0061369A"/>
    <w:rsid w:val="00655275"/>
    <w:rsid w:val="006C2C3A"/>
    <w:rsid w:val="006F1604"/>
    <w:rsid w:val="00711369"/>
    <w:rsid w:val="007124B0"/>
    <w:rsid w:val="00716EC1"/>
    <w:rsid w:val="0072110B"/>
    <w:rsid w:val="00732DC4"/>
    <w:rsid w:val="00750C56"/>
    <w:rsid w:val="00754B88"/>
    <w:rsid w:val="007779C4"/>
    <w:rsid w:val="007A63C8"/>
    <w:rsid w:val="00825684"/>
    <w:rsid w:val="00837DDF"/>
    <w:rsid w:val="008500EE"/>
    <w:rsid w:val="008A5052"/>
    <w:rsid w:val="008E47DB"/>
    <w:rsid w:val="008F78DC"/>
    <w:rsid w:val="00903DC5"/>
    <w:rsid w:val="0090610C"/>
    <w:rsid w:val="00962CBA"/>
    <w:rsid w:val="00973B02"/>
    <w:rsid w:val="00980508"/>
    <w:rsid w:val="009839E2"/>
    <w:rsid w:val="009E4757"/>
    <w:rsid w:val="009F38BA"/>
    <w:rsid w:val="009F602D"/>
    <w:rsid w:val="00A134B4"/>
    <w:rsid w:val="00A22349"/>
    <w:rsid w:val="00A2380F"/>
    <w:rsid w:val="00A320B2"/>
    <w:rsid w:val="00A35652"/>
    <w:rsid w:val="00A71432"/>
    <w:rsid w:val="00A77A08"/>
    <w:rsid w:val="00AB0FA2"/>
    <w:rsid w:val="00AE3CED"/>
    <w:rsid w:val="00B111D8"/>
    <w:rsid w:val="00B144F4"/>
    <w:rsid w:val="00B3444F"/>
    <w:rsid w:val="00B61AB5"/>
    <w:rsid w:val="00B841E4"/>
    <w:rsid w:val="00BA7B69"/>
    <w:rsid w:val="00BC4A0F"/>
    <w:rsid w:val="00BF09F6"/>
    <w:rsid w:val="00BF1BD1"/>
    <w:rsid w:val="00C1727B"/>
    <w:rsid w:val="00C36712"/>
    <w:rsid w:val="00C4686A"/>
    <w:rsid w:val="00C61A21"/>
    <w:rsid w:val="00C652CF"/>
    <w:rsid w:val="00C6605A"/>
    <w:rsid w:val="00C7285C"/>
    <w:rsid w:val="00CA5AD8"/>
    <w:rsid w:val="00CE3D6F"/>
    <w:rsid w:val="00D82E88"/>
    <w:rsid w:val="00D9319D"/>
    <w:rsid w:val="00DB1B13"/>
    <w:rsid w:val="00DD4BD8"/>
    <w:rsid w:val="00E518B4"/>
    <w:rsid w:val="00E92D15"/>
    <w:rsid w:val="00E940EF"/>
    <w:rsid w:val="00EC26BC"/>
    <w:rsid w:val="00F44390"/>
    <w:rsid w:val="00F67D5A"/>
    <w:rsid w:val="00F717BC"/>
    <w:rsid w:val="00FA1D38"/>
    <w:rsid w:val="00FC12F2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D9C9-57F7-49B2-B8AB-127BD8D4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2016-10-13T10:40:00Z</dcterms:created>
  <dcterms:modified xsi:type="dcterms:W3CDTF">2016-10-25T09:39:00Z</dcterms:modified>
</cp:coreProperties>
</file>